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10" w:rsidRPr="00071010" w:rsidRDefault="00071010" w:rsidP="00071010">
      <w:pPr>
        <w:shd w:val="clear" w:color="auto" w:fill="FFFFFF"/>
        <w:spacing w:after="0" w:line="240" w:lineRule="auto"/>
        <w:outlineLvl w:val="0"/>
        <w:rPr>
          <w:rFonts w:ascii="Times New Roman" w:eastAsia="Times New Roman" w:hAnsi="Times New Roman" w:cs="Times New Roman"/>
          <w:b/>
          <w:bCs/>
          <w:color w:val="333333"/>
          <w:kern w:val="36"/>
          <w:sz w:val="48"/>
          <w:szCs w:val="48"/>
          <w:lang w:eastAsia="ru-RU"/>
        </w:rPr>
      </w:pPr>
      <w:r w:rsidRPr="00071010">
        <w:rPr>
          <w:rFonts w:ascii="Times New Roman" w:eastAsia="Times New Roman" w:hAnsi="Times New Roman" w:cs="Times New Roman"/>
          <w:b/>
          <w:bCs/>
          <w:color w:val="333333"/>
          <w:kern w:val="36"/>
          <w:sz w:val="48"/>
          <w:szCs w:val="48"/>
          <w:bdr w:val="none" w:sz="0" w:space="0" w:color="auto" w:frame="1"/>
          <w:lang w:eastAsia="ru-RU"/>
        </w:rPr>
        <w:t>Методичні рекомендації щодо викладання іноземних мов у 2018/2019 навчальному році</w:t>
      </w:r>
    </w:p>
    <w:p w:rsidR="00071010" w:rsidRPr="00071010" w:rsidRDefault="00071010" w:rsidP="00071010">
      <w:pPr>
        <w:pBdr>
          <w:bottom w:val="single" w:sz="6" w:space="4" w:color="F2F2F2"/>
        </w:pBdr>
        <w:shd w:val="clear" w:color="auto" w:fill="FFFFFF"/>
        <w:spacing w:after="0" w:line="240" w:lineRule="auto"/>
        <w:rPr>
          <w:rFonts w:ascii="Verdana" w:eastAsia="Times New Roman" w:hAnsi="Verdana" w:cs="Times New Roman"/>
          <w:color w:val="AAAAAA"/>
          <w:sz w:val="15"/>
          <w:szCs w:val="15"/>
          <w:lang w:eastAsia="ru-RU"/>
        </w:rPr>
      </w:pPr>
      <w:r w:rsidRPr="00071010">
        <w:rPr>
          <w:rFonts w:ascii="Verdana" w:eastAsia="Times New Roman" w:hAnsi="Verdana" w:cs="Times New Roman"/>
          <w:color w:val="AAAAAA"/>
          <w:sz w:val="15"/>
          <w:szCs w:val="15"/>
          <w:bdr w:val="none" w:sz="0" w:space="0" w:color="auto" w:frame="1"/>
          <w:lang w:eastAsia="ru-RU"/>
        </w:rPr>
        <w:t>в </w:t>
      </w:r>
      <w:hyperlink r:id="rId5" w:history="1">
        <w:r w:rsidRPr="00071010">
          <w:rPr>
            <w:rFonts w:ascii="Verdana" w:eastAsia="Times New Roman" w:hAnsi="Verdana" w:cs="Times New Roman"/>
            <w:color w:val="AAAAAA"/>
            <w:sz w:val="15"/>
            <w:szCs w:val="15"/>
            <w:u w:val="single"/>
            <w:bdr w:val="none" w:sz="0" w:space="0" w:color="auto" w:frame="1"/>
            <w:lang w:eastAsia="ru-RU"/>
          </w:rPr>
          <w:t>Нормативно- правове забезпечення англійська мова</w:t>
        </w:r>
      </w:hyperlink>
      <w:r w:rsidRPr="00071010">
        <w:rPr>
          <w:rFonts w:ascii="Verdana" w:eastAsia="Times New Roman" w:hAnsi="Verdana" w:cs="Times New Roman"/>
          <w:color w:val="AAAAAA"/>
          <w:sz w:val="15"/>
          <w:szCs w:val="15"/>
          <w:bdr w:val="none" w:sz="0" w:space="0" w:color="auto" w:frame="1"/>
          <w:lang w:eastAsia="ru-RU"/>
        </w:rPr>
        <w:t>, </w:t>
      </w:r>
      <w:hyperlink r:id="rId6" w:history="1">
        <w:r w:rsidRPr="00071010">
          <w:rPr>
            <w:rFonts w:ascii="Verdana" w:eastAsia="Times New Roman" w:hAnsi="Verdana" w:cs="Times New Roman"/>
            <w:color w:val="AAAAAA"/>
            <w:sz w:val="15"/>
            <w:szCs w:val="15"/>
            <w:u w:val="single"/>
            <w:bdr w:val="none" w:sz="0" w:space="0" w:color="auto" w:frame="1"/>
            <w:lang w:eastAsia="ru-RU"/>
          </w:rPr>
          <w:t>Нормативно-правове забезпечення німецької мови</w:t>
        </w:r>
      </w:hyperlink>
      <w:r w:rsidRPr="00071010">
        <w:rPr>
          <w:rFonts w:ascii="Verdana" w:eastAsia="Times New Roman" w:hAnsi="Verdana" w:cs="Times New Roman"/>
          <w:color w:val="AAAAAA"/>
          <w:sz w:val="15"/>
          <w:szCs w:val="15"/>
          <w:bdr w:val="none" w:sz="0" w:space="0" w:color="auto" w:frame="1"/>
          <w:lang w:eastAsia="ru-RU"/>
        </w:rPr>
        <w:t>, </w:t>
      </w:r>
      <w:hyperlink r:id="rId7" w:history="1">
        <w:r w:rsidRPr="00071010">
          <w:rPr>
            <w:rFonts w:ascii="Verdana" w:eastAsia="Times New Roman" w:hAnsi="Verdana" w:cs="Times New Roman"/>
            <w:color w:val="AAAAAA"/>
            <w:sz w:val="15"/>
            <w:szCs w:val="15"/>
            <w:u w:val="single"/>
            <w:bdr w:val="none" w:sz="0" w:space="0" w:color="auto" w:frame="1"/>
            <w:lang w:eastAsia="ru-RU"/>
          </w:rPr>
          <w:t>Усі уроки англійської мови</w:t>
        </w:r>
      </w:hyperlink>
      <w:r w:rsidRPr="00071010">
        <w:rPr>
          <w:rFonts w:ascii="Verdana" w:eastAsia="Times New Roman" w:hAnsi="Verdana" w:cs="Times New Roman"/>
          <w:color w:val="AAAAAA"/>
          <w:sz w:val="15"/>
          <w:szCs w:val="15"/>
          <w:bdr w:val="none" w:sz="0" w:space="0" w:color="auto" w:frame="1"/>
          <w:lang w:eastAsia="ru-RU"/>
        </w:rPr>
        <w:t>, </w:t>
      </w:r>
      <w:hyperlink r:id="rId8" w:history="1">
        <w:r w:rsidRPr="00071010">
          <w:rPr>
            <w:rFonts w:ascii="Verdana" w:eastAsia="Times New Roman" w:hAnsi="Verdana" w:cs="Times New Roman"/>
            <w:color w:val="AAAAAA"/>
            <w:sz w:val="15"/>
            <w:szCs w:val="15"/>
            <w:u w:val="single"/>
            <w:bdr w:val="none" w:sz="0" w:space="0" w:color="auto" w:frame="1"/>
            <w:lang w:eastAsia="ru-RU"/>
          </w:rPr>
          <w:t>Усі уроки німецької мови</w:t>
        </w:r>
      </w:hyperlink>
      <w:r w:rsidRPr="00071010">
        <w:rPr>
          <w:rFonts w:ascii="Verdana" w:eastAsia="Times New Roman" w:hAnsi="Verdana" w:cs="Times New Roman"/>
          <w:color w:val="AAAAAA"/>
          <w:sz w:val="15"/>
          <w:szCs w:val="15"/>
          <w:bdr w:val="none" w:sz="0" w:space="0" w:color="auto" w:frame="1"/>
          <w:lang w:eastAsia="ru-RU"/>
        </w:rPr>
        <w:t>, </w:t>
      </w:r>
      <w:hyperlink r:id="rId9" w:history="1">
        <w:r w:rsidRPr="00071010">
          <w:rPr>
            <w:rFonts w:ascii="Verdana" w:eastAsia="Times New Roman" w:hAnsi="Verdana" w:cs="Times New Roman"/>
            <w:color w:val="AAAAAA"/>
            <w:sz w:val="15"/>
            <w:szCs w:val="15"/>
            <w:u w:val="single"/>
            <w:bdr w:val="none" w:sz="0" w:space="0" w:color="auto" w:frame="1"/>
            <w:lang w:eastAsia="ru-RU"/>
          </w:rPr>
          <w:t>Файли</w:t>
        </w:r>
      </w:hyperlink>
      <w:r w:rsidRPr="00071010">
        <w:rPr>
          <w:rFonts w:ascii="Verdana" w:eastAsia="Times New Roman" w:hAnsi="Verdana" w:cs="Times New Roman"/>
          <w:color w:val="AAAAAA"/>
          <w:sz w:val="15"/>
          <w:szCs w:val="15"/>
          <w:bdr w:val="none" w:sz="0" w:space="0" w:color="auto" w:frame="1"/>
          <w:lang w:eastAsia="ru-RU"/>
        </w:rPr>
        <w:t>08.07.2018</w:t>
      </w:r>
      <w:r w:rsidRPr="00071010">
        <w:rPr>
          <w:rFonts w:ascii="Verdana" w:eastAsia="Times New Roman" w:hAnsi="Verdana" w:cs="Times New Roman"/>
          <w:color w:val="AAAAAA"/>
          <w:sz w:val="15"/>
          <w:szCs w:val="15"/>
          <w:lang w:eastAsia="ru-RU"/>
        </w:rPr>
        <w:t> </w:t>
      </w:r>
      <w:r w:rsidRPr="00071010">
        <w:rPr>
          <w:rFonts w:ascii="Verdana" w:eastAsia="Times New Roman" w:hAnsi="Verdana" w:cs="Times New Roman"/>
          <w:color w:val="AAAAAA"/>
          <w:sz w:val="15"/>
          <w:szCs w:val="15"/>
          <w:bdr w:val="none" w:sz="0" w:space="0" w:color="auto" w:frame="1"/>
          <w:lang w:eastAsia="ru-RU"/>
        </w:rPr>
        <w:t>15,799 Переглядів</w:t>
      </w:r>
    </w:p>
    <w:p w:rsidR="00071010" w:rsidRPr="00071010" w:rsidRDefault="00071010" w:rsidP="00071010">
      <w:pPr>
        <w:shd w:val="clear" w:color="auto" w:fill="FFFFFF"/>
        <w:spacing w:after="0" w:line="240" w:lineRule="auto"/>
        <w:jc w:val="right"/>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Додаток</w:t>
      </w:r>
      <w:r w:rsidRPr="00071010">
        <w:rPr>
          <w:rFonts w:ascii="Verdana" w:eastAsia="Times New Roman" w:hAnsi="Verdana" w:cs="Times New Roman"/>
          <w:color w:val="333333"/>
          <w:sz w:val="20"/>
          <w:szCs w:val="20"/>
          <w:lang w:eastAsia="ru-RU"/>
        </w:rPr>
        <w:br/>
        <w:t>до листа Міністерства</w:t>
      </w:r>
      <w:r w:rsidRPr="00071010">
        <w:rPr>
          <w:rFonts w:ascii="Verdana" w:eastAsia="Times New Roman" w:hAnsi="Verdana" w:cs="Times New Roman"/>
          <w:color w:val="333333"/>
          <w:sz w:val="20"/>
          <w:szCs w:val="20"/>
          <w:lang w:eastAsia="ru-RU"/>
        </w:rPr>
        <w:br/>
        <w:t>освіти і науки України</w:t>
      </w:r>
      <w:r w:rsidRPr="00071010">
        <w:rPr>
          <w:rFonts w:ascii="Verdana" w:eastAsia="Times New Roman" w:hAnsi="Verdana" w:cs="Times New Roman"/>
          <w:b/>
          <w:bCs/>
          <w:color w:val="333333"/>
          <w:sz w:val="20"/>
          <w:szCs w:val="20"/>
          <w:bdr w:val="none" w:sz="0" w:space="0" w:color="auto" w:frame="1"/>
          <w:lang w:eastAsia="ru-RU"/>
        </w:rPr>
        <w:br/>
      </w:r>
      <w:hyperlink r:id="rId10" w:history="1">
        <w:r w:rsidRPr="00071010">
          <w:rPr>
            <w:rFonts w:ascii="Verdana" w:eastAsia="Times New Roman" w:hAnsi="Verdana" w:cs="Times New Roman"/>
            <w:b/>
            <w:bCs/>
            <w:color w:val="9C0303"/>
            <w:sz w:val="20"/>
            <w:szCs w:val="20"/>
            <w:u w:val="single"/>
            <w:bdr w:val="none" w:sz="0" w:space="0" w:color="auto" w:frame="1"/>
            <w:lang w:eastAsia="ru-RU"/>
          </w:rPr>
          <w:t>від  03. 07. 2018 р. № 1/9-415</w:t>
        </w:r>
      </w:hyperlink>
    </w:p>
    <w:p w:rsidR="00071010" w:rsidRPr="00071010" w:rsidRDefault="00071010" w:rsidP="00071010">
      <w:pPr>
        <w:shd w:val="clear" w:color="auto" w:fill="FFFFFF"/>
        <w:spacing w:after="0" w:line="240" w:lineRule="auto"/>
        <w:jc w:val="center"/>
        <w:rPr>
          <w:rFonts w:ascii="Verdana" w:eastAsia="Times New Roman" w:hAnsi="Verdana" w:cs="Times New Roman"/>
          <w:color w:val="333333"/>
          <w:sz w:val="20"/>
          <w:szCs w:val="20"/>
          <w:lang w:eastAsia="ru-RU"/>
        </w:rPr>
      </w:pPr>
      <w:r w:rsidRPr="00071010">
        <w:rPr>
          <w:rFonts w:ascii="Verdana" w:eastAsia="Times New Roman" w:hAnsi="Verdana" w:cs="Times New Roman"/>
          <w:b/>
          <w:bCs/>
          <w:color w:val="333333"/>
          <w:sz w:val="20"/>
          <w:szCs w:val="20"/>
          <w:bdr w:val="none" w:sz="0" w:space="0" w:color="auto" w:frame="1"/>
          <w:lang w:eastAsia="ru-RU"/>
        </w:rPr>
        <w:t> Методичні рекомендації щодо викладання  іноземних мов у 2018/2019  навчальному році</w:t>
      </w:r>
    </w:p>
    <w:p w:rsidR="00071010" w:rsidRPr="00071010" w:rsidRDefault="00071010" w:rsidP="00071010">
      <w:pPr>
        <w:shd w:val="clear" w:color="auto" w:fill="FFFFFF"/>
        <w:spacing w:after="0" w:line="240" w:lineRule="auto"/>
        <w:jc w:val="center"/>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Старт «Нової української школи»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 сьогодні учні часто спроможні відтворювати лише 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 документі Ради Європи  </w:t>
      </w:r>
      <w:r w:rsidRPr="00071010">
        <w:rPr>
          <w:rFonts w:ascii="Verdana" w:eastAsia="Times New Roman" w:hAnsi="Verdana" w:cs="Times New Roman"/>
          <w:i/>
          <w:iCs/>
          <w:color w:val="333333"/>
          <w:sz w:val="20"/>
          <w:szCs w:val="20"/>
          <w:bdr w:val="none" w:sz="0" w:space="0" w:color="auto" w:frame="1"/>
          <w:lang w:eastAsia="ru-RU"/>
        </w:rPr>
        <w:t>«Компетентності для культури демократії – Живемо разом як рівноправні громадяни в культурно багатоманітному демократичному суспільстві»</w:t>
      </w:r>
      <w:r w:rsidRPr="00071010">
        <w:rPr>
          <w:rFonts w:ascii="Verdana" w:eastAsia="Times New Roman" w:hAnsi="Verdana" w:cs="Times New Roman"/>
          <w:color w:val="333333"/>
          <w:sz w:val="20"/>
          <w:szCs w:val="20"/>
          <w:lang w:eastAsia="ru-RU"/>
        </w:rPr>
        <w:t> поняття «компетентність»  пояснюється як здатність мобілізувати й застосувати відповідні </w:t>
      </w:r>
      <w:r w:rsidRPr="00071010">
        <w:rPr>
          <w:rFonts w:ascii="Verdana" w:eastAsia="Times New Roman" w:hAnsi="Verdana" w:cs="Times New Roman"/>
          <w:b/>
          <w:bCs/>
          <w:i/>
          <w:iCs/>
          <w:color w:val="333333"/>
          <w:sz w:val="20"/>
          <w:szCs w:val="20"/>
          <w:bdr w:val="none" w:sz="0" w:space="0" w:color="auto" w:frame="1"/>
          <w:lang w:eastAsia="ru-RU"/>
        </w:rPr>
        <w:t>цінності, ставлення, навички, знання та/або розуміння, </w:t>
      </w:r>
      <w:r w:rsidRPr="00071010">
        <w:rPr>
          <w:rFonts w:ascii="Verdana" w:eastAsia="Times New Roman" w:hAnsi="Verdana" w:cs="Times New Roman"/>
          <w:color w:val="333333"/>
          <w:sz w:val="20"/>
          <w:szCs w:val="20"/>
          <w:lang w:eastAsia="ru-RU"/>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      Цінності –</w:t>
      </w:r>
      <w:r w:rsidRPr="00071010">
        <w:rPr>
          <w:rFonts w:ascii="Verdana" w:eastAsia="Times New Roman" w:hAnsi="Verdana" w:cs="Times New Roman"/>
          <w:color w:val="333333"/>
          <w:sz w:val="20"/>
          <w:szCs w:val="20"/>
          <w:lang w:eastAsia="ru-RU"/>
        </w:rPr>
        <w:t>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w:t>
      </w:r>
    </w:p>
    <w:p w:rsidR="00071010" w:rsidRPr="00071010" w:rsidRDefault="00071010" w:rsidP="00071010">
      <w:pPr>
        <w:numPr>
          <w:ilvl w:val="0"/>
          <w:numId w:val="1"/>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071010" w:rsidRPr="00071010" w:rsidRDefault="00071010" w:rsidP="00071010">
      <w:pPr>
        <w:numPr>
          <w:ilvl w:val="0"/>
          <w:numId w:val="1"/>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Визнання того, що кожна людина має право бути іншою, обирати власні перспективи, погляди, переконання та думки.</w:t>
      </w:r>
    </w:p>
    <w:p w:rsidR="00071010" w:rsidRPr="00071010" w:rsidRDefault="00071010" w:rsidP="00071010">
      <w:pPr>
        <w:numPr>
          <w:ilvl w:val="0"/>
          <w:numId w:val="1"/>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lastRenderedPageBreak/>
        <w:t>Визнання того, що люди повинні поважати бачення, погляди, переконання та думки одне одного, якщо вони не спрямовані на порушення прав і свобод інших людей.</w:t>
      </w:r>
    </w:p>
    <w:p w:rsidR="00071010" w:rsidRPr="00071010" w:rsidRDefault="00071010" w:rsidP="00071010">
      <w:pPr>
        <w:numPr>
          <w:ilvl w:val="0"/>
          <w:numId w:val="1"/>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Визнання того, що люди повинні поважати спосіб життя та практики інших, якщо вони не порушують прав і свобод інших.</w:t>
      </w:r>
    </w:p>
    <w:p w:rsidR="00071010" w:rsidRPr="00071010" w:rsidRDefault="00071010" w:rsidP="00071010">
      <w:pPr>
        <w:numPr>
          <w:ilvl w:val="0"/>
          <w:numId w:val="1"/>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Визнання того, що люди повинні дослухатися і долучатися до діалогу з тими, хто є інакшим, ніж вони самі.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    Ставлення</w:t>
      </w:r>
      <w:r w:rsidRPr="00071010">
        <w:rPr>
          <w:rFonts w:ascii="Verdana" w:eastAsia="Times New Roman" w:hAnsi="Verdana" w:cs="Times New Roman"/>
          <w:color w:val="333333"/>
          <w:sz w:val="20"/>
          <w:szCs w:val="20"/>
          <w:lang w:eastAsia="ru-RU"/>
        </w:rPr>
        <w:t> –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071010" w:rsidRPr="00071010" w:rsidRDefault="00071010" w:rsidP="00071010">
      <w:pPr>
        <w:numPr>
          <w:ilvl w:val="0"/>
          <w:numId w:val="2"/>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Чутливість до культурної багатоманітності, світогляду, переконань, цінностей та практик, що відрізняються від власних.</w:t>
      </w:r>
    </w:p>
    <w:p w:rsidR="00071010" w:rsidRPr="00071010" w:rsidRDefault="00071010" w:rsidP="00071010">
      <w:pPr>
        <w:numPr>
          <w:ilvl w:val="0"/>
          <w:numId w:val="2"/>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w:t>
      </w:r>
    </w:p>
    <w:p w:rsidR="00071010" w:rsidRPr="00071010" w:rsidRDefault="00071010" w:rsidP="00071010">
      <w:pPr>
        <w:numPr>
          <w:ilvl w:val="0"/>
          <w:numId w:val="2"/>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071010" w:rsidRPr="00071010" w:rsidRDefault="00071010" w:rsidP="00071010">
      <w:pPr>
        <w:numPr>
          <w:ilvl w:val="0"/>
          <w:numId w:val="2"/>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Емоційну налаштованість на взаємодію з людьми, що сприймаються як інакші.</w:t>
      </w:r>
    </w:p>
    <w:p w:rsidR="00071010" w:rsidRPr="00071010" w:rsidRDefault="00071010" w:rsidP="00071010">
      <w:pPr>
        <w:numPr>
          <w:ilvl w:val="0"/>
          <w:numId w:val="2"/>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color w:val="333333"/>
          <w:sz w:val="20"/>
          <w:szCs w:val="20"/>
          <w:bdr w:val="none" w:sz="0" w:space="0" w:color="auto" w:frame="1"/>
          <w:lang w:eastAsia="ru-RU"/>
        </w:rPr>
        <w:t>      </w:t>
      </w:r>
      <w:r w:rsidRPr="00071010">
        <w:rPr>
          <w:rFonts w:ascii="Verdana" w:eastAsia="Times New Roman" w:hAnsi="Verdana" w:cs="Times New Roman"/>
          <w:b/>
          <w:bCs/>
          <w:i/>
          <w:iCs/>
          <w:color w:val="333333"/>
          <w:sz w:val="20"/>
          <w:szCs w:val="20"/>
          <w:bdr w:val="none" w:sz="0" w:space="0" w:color="auto" w:frame="1"/>
          <w:lang w:eastAsia="ru-RU"/>
        </w:rPr>
        <w:t>Навичка</w:t>
      </w:r>
      <w:r w:rsidRPr="00071010">
        <w:rPr>
          <w:rFonts w:ascii="Verdana" w:eastAsia="Times New Roman" w:hAnsi="Verdana" w:cs="Times New Roman"/>
          <w:b/>
          <w:bCs/>
          <w:color w:val="333333"/>
          <w:sz w:val="20"/>
          <w:szCs w:val="20"/>
          <w:bdr w:val="none" w:sz="0" w:space="0" w:color="auto" w:frame="1"/>
          <w:lang w:eastAsia="ru-RU"/>
        </w:rPr>
        <w:t> </w:t>
      </w:r>
      <w:r w:rsidRPr="00071010">
        <w:rPr>
          <w:rFonts w:ascii="Verdana" w:eastAsia="Times New Roman" w:hAnsi="Verdana" w:cs="Times New Roman"/>
          <w:color w:val="333333"/>
          <w:sz w:val="20"/>
          <w:szCs w:val="20"/>
          <w:lang w:eastAsia="ru-RU"/>
        </w:rPr>
        <w:t>–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Лінгвістичні, комунікативні навички та багатомовність необхідні для ефективної та належної комунікації з іншими людьми. Вони включають у себе:</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w:t>
      </w:r>
    </w:p>
    <w:p w:rsidR="00071010" w:rsidRPr="00071010" w:rsidRDefault="00071010" w:rsidP="00071010">
      <w:pPr>
        <w:numPr>
          <w:ilvl w:val="0"/>
          <w:numId w:val="3"/>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Знання </w:t>
      </w:r>
      <w:r w:rsidRPr="00071010">
        <w:rPr>
          <w:rFonts w:ascii="Verdana" w:eastAsia="Times New Roman" w:hAnsi="Verdana" w:cs="Times New Roman"/>
          <w:color w:val="333333"/>
          <w:sz w:val="20"/>
          <w:szCs w:val="20"/>
          <w:lang w:eastAsia="ru-RU"/>
        </w:rPr>
        <w:t xml:space="preserve">– це масив інформації, яким володіє людина, у той час як розуміння – усвідомлення смислів. Термін «критичне розуміння» в цьому контексті використовується </w:t>
      </w:r>
      <w:r w:rsidRPr="00071010">
        <w:rPr>
          <w:rFonts w:ascii="Verdana" w:eastAsia="Times New Roman" w:hAnsi="Verdana" w:cs="Times New Roman"/>
          <w:color w:val="333333"/>
          <w:sz w:val="20"/>
          <w:szCs w:val="20"/>
          <w:lang w:eastAsia="ru-RU"/>
        </w:rPr>
        <w:lastRenderedPageBreak/>
        <w:t>для того, щоб підкреслити необхідність усвідомлення та оцінювання значень у контексті демократичних процесів та міжкультурного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діалогу, щоб стимулювати роздуми та критичне оцінювання того, що було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зрозумілим і розтлумаченим (на противагу автоматичному, звичному, не-</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рефлективному тлумаченню). Знання та критичне розуміння мови і комунікації включає:</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знання соціально прийнятних вербальних та невербальних принципів, що існують у мові, якою послуговується людина;</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що люди, які мають іншу культурну належність, можуть сприймати зміст висловлювання, що з’являються під час комунікації, інакше, ніж ми;</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що є безліч способів спілкування кожною мовою та чимала кількість способів використання тієї самої мови;</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що використання мови – це культурна практика, а мова є носієм інформації, значень, ідентичностей, поширених у культурі, для якої вона характерна;</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що мови можуть унікально висловлювати спільні ідеї або висловлювати унікальні ідеї, які важко пояснити іншими мовами;</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w:t>
      </w:r>
    </w:p>
    <w:p w:rsidR="00071010" w:rsidRPr="00071010" w:rsidRDefault="00071010" w:rsidP="00071010">
      <w:pPr>
        <w:numPr>
          <w:ilvl w:val="0"/>
          <w:numId w:val="4"/>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розуміння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Оцінювання навчальних досягнень учнів 1-го класу з іноземних мов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Оцінювання навчальних досягнень з іноземних мов учнів 1-х класів</w:t>
      </w:r>
      <w:r w:rsidRPr="00071010">
        <w:rPr>
          <w:rFonts w:ascii="Verdana" w:eastAsia="Times New Roman" w:hAnsi="Verdana" w:cs="Times New Roman"/>
          <w:b/>
          <w:bCs/>
          <w:color w:val="333333"/>
          <w:sz w:val="20"/>
          <w:szCs w:val="20"/>
          <w:bdr w:val="none" w:sz="0" w:space="0" w:color="auto" w:frame="1"/>
          <w:lang w:eastAsia="ru-RU"/>
        </w:rPr>
        <w:t> </w:t>
      </w:r>
      <w:r w:rsidRPr="00071010">
        <w:rPr>
          <w:rFonts w:ascii="Verdana" w:eastAsia="Times New Roman" w:hAnsi="Verdana" w:cs="Times New Roman"/>
          <w:color w:val="333333"/>
          <w:sz w:val="20"/>
          <w:szCs w:val="20"/>
          <w:lang w:eastAsia="ru-RU"/>
        </w:rPr>
        <w:t>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 мовного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Під час іншомовного навчання в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071010">
        <w:rPr>
          <w:rFonts w:ascii="Verdana" w:eastAsia="Times New Roman" w:hAnsi="Verdana" w:cs="Times New Roman"/>
          <w:i/>
          <w:iCs/>
          <w:color w:val="333333"/>
          <w:sz w:val="20"/>
          <w:szCs w:val="20"/>
          <w:bdr w:val="none" w:sz="0" w:space="0" w:color="auto" w:frame="1"/>
          <w:lang w:eastAsia="ru-RU"/>
        </w:rPr>
        <w:t>Кожен учень має власний стиль і темп навчання.</w:t>
      </w:r>
      <w:r w:rsidRPr="00071010">
        <w:rPr>
          <w:rFonts w:ascii="Verdana" w:eastAsia="Times New Roman" w:hAnsi="Verdana" w:cs="Times New Roman"/>
          <w:color w:val="333333"/>
          <w:sz w:val="20"/>
          <w:szCs w:val="20"/>
          <w:lang w:eastAsia="ru-RU"/>
        </w:rPr>
        <w:t> 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Під час організації навчання взагалі і контролю в 1 класі зокрема важливо </w:t>
      </w:r>
      <w:r w:rsidRPr="00071010">
        <w:rPr>
          <w:rFonts w:ascii="Verdana" w:eastAsia="Times New Roman" w:hAnsi="Verdana" w:cs="Times New Roman"/>
          <w:i/>
          <w:iCs/>
          <w:color w:val="333333"/>
          <w:sz w:val="20"/>
          <w:szCs w:val="20"/>
          <w:bdr w:val="none" w:sz="0" w:space="0" w:color="auto" w:frame="1"/>
          <w:lang w:eastAsia="ru-RU"/>
        </w:rPr>
        <w:t>створювати для учнів ситуацію успіху</w:t>
      </w:r>
      <w:r w:rsidRPr="00071010">
        <w:rPr>
          <w:rFonts w:ascii="Verdana" w:eastAsia="Times New Roman" w:hAnsi="Verdana" w:cs="Times New Roman"/>
          <w:color w:val="333333"/>
          <w:sz w:val="20"/>
          <w:szCs w:val="20"/>
          <w:lang w:eastAsia="ru-RU"/>
        </w:rPr>
        <w:t> Навіть невеличке досягнення надихає дітей.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“Добре</w:t>
      </w:r>
      <w:r w:rsidRPr="00071010">
        <w:rPr>
          <w:rFonts w:ascii="Verdana" w:eastAsia="Times New Roman" w:hAnsi="Verdana" w:cs="Times New Roman"/>
          <w:i/>
          <w:iCs/>
          <w:color w:val="333333"/>
          <w:sz w:val="20"/>
          <w:szCs w:val="20"/>
          <w:bdr w:val="none" w:sz="0" w:space="0" w:color="auto" w:frame="1"/>
          <w:lang w:eastAsia="ru-RU"/>
        </w:rPr>
        <w:t>! Твоя буква А зараз набагато краща</w:t>
      </w:r>
      <w:r w:rsidRPr="00071010">
        <w:rPr>
          <w:rFonts w:ascii="Verdana" w:eastAsia="Times New Roman" w:hAnsi="Verdana" w:cs="Times New Roman"/>
          <w:color w:val="333333"/>
          <w:sz w:val="20"/>
          <w:szCs w:val="20"/>
          <w:lang w:eastAsia="ru-RU"/>
        </w:rPr>
        <w:t>“.</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Враховуючи цю вікову особливість, а також важливу роль по</w:t>
      </w:r>
      <w:r w:rsidRPr="00071010">
        <w:rPr>
          <w:rFonts w:ascii="Verdana" w:eastAsia="Times New Roman" w:hAnsi="Verdana" w:cs="Times New Roman"/>
          <w:color w:val="333333"/>
          <w:sz w:val="20"/>
          <w:szCs w:val="20"/>
          <w:lang w:eastAsia="ru-RU"/>
        </w:rPr>
        <w:softHyphen/>
        <w:t>чаткової школи як «стартового майданчика» для того, щоб задати правильну «траєкторію польоту» не тільки в навчальній діяльності, а й в особистісному розвитку, учителю бажано використовувати систему </w:t>
      </w:r>
      <w:r w:rsidRPr="00071010">
        <w:rPr>
          <w:rFonts w:ascii="Verdana" w:eastAsia="Times New Roman" w:hAnsi="Verdana" w:cs="Times New Roman"/>
          <w:b/>
          <w:bCs/>
          <w:i/>
          <w:iCs/>
          <w:color w:val="333333"/>
          <w:sz w:val="20"/>
          <w:szCs w:val="20"/>
          <w:bdr w:val="none" w:sz="0" w:space="0" w:color="auto" w:frame="1"/>
          <w:lang w:eastAsia="ru-RU"/>
        </w:rPr>
        <w:t>змістовної оцінки</w:t>
      </w:r>
      <w:r w:rsidRPr="00071010">
        <w:rPr>
          <w:rFonts w:ascii="Verdana" w:eastAsia="Times New Roman" w:hAnsi="Verdana" w:cs="Times New Roman"/>
          <w:i/>
          <w:iCs/>
          <w:color w:val="333333"/>
          <w:sz w:val="20"/>
          <w:szCs w:val="20"/>
          <w:bdr w:val="none" w:sz="0" w:space="0" w:color="auto" w:frame="1"/>
          <w:lang w:eastAsia="ru-RU"/>
        </w:rPr>
        <w:t>, </w:t>
      </w:r>
      <w:r w:rsidRPr="00071010">
        <w:rPr>
          <w:rFonts w:ascii="Verdana" w:eastAsia="Times New Roman" w:hAnsi="Verdana" w:cs="Times New Roman"/>
          <w:color w:val="333333"/>
          <w:sz w:val="20"/>
          <w:szCs w:val="20"/>
          <w:lang w:eastAsia="ru-RU"/>
        </w:rPr>
        <w:t>яка на етапі 1 класу має включати обов’язкових два компоненти: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1) доброзичливе ставлення до учня як до особистості;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lastRenderedPageBreak/>
        <w:t>2) позитивне ставлення до зусиль учня, спрямованих на розв’язання задачі (навіть якщо ці зусилля не дали позитив</w:t>
      </w:r>
      <w:r w:rsidRPr="00071010">
        <w:rPr>
          <w:rFonts w:ascii="Verdana" w:eastAsia="Times New Roman" w:hAnsi="Verdana" w:cs="Times New Roman"/>
          <w:color w:val="333333"/>
          <w:sz w:val="20"/>
          <w:szCs w:val="20"/>
          <w:lang w:eastAsia="ru-RU"/>
        </w:rPr>
        <w:softHyphen/>
        <w:t>ного результату).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Досвід свідчить, що в роботі з молодшими школярами виправ</w:t>
      </w:r>
      <w:r w:rsidRPr="00071010">
        <w:rPr>
          <w:rFonts w:ascii="Verdana" w:eastAsia="Times New Roman" w:hAnsi="Verdana" w:cs="Times New Roman"/>
          <w:color w:val="333333"/>
          <w:sz w:val="20"/>
          <w:szCs w:val="20"/>
          <w:lang w:eastAsia="ru-RU"/>
        </w:rPr>
        <w:softHyphen/>
        <w:t>довує себе система, за якою вони одержують тільки позитивну оцінку. Це дає можливість підтримати слабких учнів, запропо</w:t>
      </w:r>
      <w:r w:rsidRPr="00071010">
        <w:rPr>
          <w:rFonts w:ascii="Verdana" w:eastAsia="Times New Roman" w:hAnsi="Verdana" w:cs="Times New Roman"/>
          <w:color w:val="333333"/>
          <w:sz w:val="20"/>
          <w:szCs w:val="20"/>
          <w:lang w:eastAsia="ru-RU"/>
        </w:rPr>
        <w:softHyphen/>
        <w:t>нувавши їм легше завдання, тобто оцінюються зусилля кожного, враховуючи індивідуальні здібності.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Інші компоненти змістовної оцінки такі як: </w:t>
      </w:r>
      <w:r w:rsidRPr="00071010">
        <w:rPr>
          <w:rFonts w:ascii="Verdana" w:eastAsia="Times New Roman" w:hAnsi="Verdana" w:cs="Times New Roman"/>
          <w:i/>
          <w:iCs/>
          <w:color w:val="333333"/>
          <w:sz w:val="20"/>
          <w:szCs w:val="20"/>
          <w:bdr w:val="none" w:sz="0" w:space="0" w:color="auto" w:frame="1"/>
          <w:lang w:eastAsia="ru-RU"/>
        </w:rPr>
        <w:t>конкретний аналіз допущених учнем помилок і труднощів, що постали перед ним</w:t>
      </w:r>
      <w:r w:rsidRPr="00071010">
        <w:rPr>
          <w:rFonts w:ascii="Verdana" w:eastAsia="Times New Roman" w:hAnsi="Verdana" w:cs="Times New Roman"/>
          <w:color w:val="333333"/>
          <w:sz w:val="20"/>
          <w:szCs w:val="20"/>
          <w:lang w:eastAsia="ru-RU"/>
        </w:rPr>
        <w:t> та </w:t>
      </w:r>
      <w:r w:rsidRPr="00071010">
        <w:rPr>
          <w:rFonts w:ascii="Verdana" w:eastAsia="Times New Roman" w:hAnsi="Verdana" w:cs="Times New Roman"/>
          <w:i/>
          <w:iCs/>
          <w:color w:val="333333"/>
          <w:sz w:val="20"/>
          <w:szCs w:val="20"/>
          <w:bdr w:val="none" w:sz="0" w:space="0" w:color="auto" w:frame="1"/>
          <w:lang w:eastAsia="ru-RU"/>
        </w:rPr>
        <w:t>конкретні вказівки про те, як покращити досягнутий ре</w:t>
      </w:r>
      <w:r w:rsidRPr="00071010">
        <w:rPr>
          <w:rFonts w:ascii="Verdana" w:eastAsia="Times New Roman" w:hAnsi="Verdana" w:cs="Times New Roman"/>
          <w:i/>
          <w:iCs/>
          <w:color w:val="333333"/>
          <w:sz w:val="20"/>
          <w:szCs w:val="20"/>
          <w:bdr w:val="none" w:sz="0" w:space="0" w:color="auto" w:frame="1"/>
          <w:lang w:eastAsia="ru-RU"/>
        </w:rPr>
        <w:softHyphen/>
        <w:t>зультат, </w:t>
      </w:r>
      <w:r w:rsidRPr="00071010">
        <w:rPr>
          <w:rFonts w:ascii="Verdana" w:eastAsia="Times New Roman" w:hAnsi="Verdana" w:cs="Times New Roman"/>
          <w:color w:val="333333"/>
          <w:sz w:val="20"/>
          <w:szCs w:val="20"/>
          <w:lang w:eastAsia="ru-RU"/>
        </w:rPr>
        <w:t>не є  предметом розгляду в 1 класі, але стають актуальними на подальших навчальних етапах у початковій школі.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 процесі засвоєння знань для першокласника важливе значення має </w:t>
      </w:r>
      <w:r w:rsidRPr="00071010">
        <w:rPr>
          <w:rFonts w:ascii="Verdana" w:eastAsia="Times New Roman" w:hAnsi="Verdana" w:cs="Times New Roman"/>
          <w:b/>
          <w:bCs/>
          <w:i/>
          <w:iCs/>
          <w:color w:val="333333"/>
          <w:sz w:val="20"/>
          <w:szCs w:val="20"/>
          <w:bdr w:val="none" w:sz="0" w:space="0" w:color="auto" w:frame="1"/>
          <w:lang w:eastAsia="ru-RU"/>
        </w:rPr>
        <w:t>становлення елементів рефлексії</w:t>
      </w:r>
      <w:r w:rsidRPr="00071010">
        <w:rPr>
          <w:rFonts w:ascii="Verdana" w:eastAsia="Times New Roman" w:hAnsi="Verdana" w:cs="Times New Roman"/>
          <w:color w:val="333333"/>
          <w:sz w:val="20"/>
          <w:szCs w:val="20"/>
          <w:lang w:eastAsia="ru-RU"/>
        </w:rPr>
        <w:t>,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в повному обсязі мають сформуватися тільки наприкінці молодшого шкільного віку.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Слід зазначити, що здатність до персональної (автономної) рефлексії в дітей 6-7 років є достатньо обмеженою, але можливості для її розвитку актуалізуються в груповій формі. Умовою розвитку рефлексії в цьому віці є включення дитини у взаємодію з наступним (ретроспективним)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“Що нового у спілкуванні?”, “Що тебе найбільше схвилювало (що нового в емоціях)?”</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 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071010">
        <w:rPr>
          <w:rFonts w:ascii="Verdana" w:eastAsia="Times New Roman" w:hAnsi="Verdana" w:cs="Times New Roman"/>
          <w:i/>
          <w:iCs/>
          <w:color w:val="333333"/>
          <w:sz w:val="20"/>
          <w:szCs w:val="20"/>
          <w:bdr w:val="none" w:sz="0" w:space="0" w:color="auto" w:frame="1"/>
          <w:lang w:eastAsia="ru-RU"/>
        </w:rPr>
        <w:t>рефлексивні дії здебільшого мають вбиратися дитиною у збагаченому середовищі самостійно, ніж ним треба навчати.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Таким чином, 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 що такі порівняння не повинні закріплюватися вчителем в лінійній логіці “добро – 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в 1 класі дитину орієнтують у другому рівні цілісності рефлексії на рівні феноменологізацій: </w:t>
      </w:r>
      <w:r w:rsidRPr="00071010">
        <w:rPr>
          <w:rFonts w:ascii="Verdana" w:eastAsia="Times New Roman" w:hAnsi="Verdana" w:cs="Times New Roman"/>
          <w:i/>
          <w:iCs/>
          <w:color w:val="333333"/>
          <w:sz w:val="20"/>
          <w:szCs w:val="20"/>
          <w:bdr w:val="none" w:sz="0" w:space="0" w:color="auto" w:frame="1"/>
          <w:lang w:eastAsia="ru-RU"/>
        </w:rPr>
        <w:t>пам’ятаю, згадую, забув, хвилююсь</w:t>
      </w:r>
      <w:r w:rsidRPr="00071010">
        <w:rPr>
          <w:rFonts w:ascii="Verdana" w:eastAsia="Times New Roman" w:hAnsi="Verdana" w:cs="Times New Roman"/>
          <w:color w:val="333333"/>
          <w:sz w:val="20"/>
          <w:szCs w:val="20"/>
          <w:lang w:eastAsia="ru-RU"/>
        </w:rPr>
        <w:t>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Навчально-методичне забезпечення  учнів 1-х класів з іноземних мов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Під час навчання  мови першокласників учитель повинен враховувати відсутність попереднього навчального досвіду в маленького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учителю потрібно чітко розуміти той дидактичний результат, який планується отримати. Але цей результат не може бути мотивом для діяльності дитини. Гра повинна змінювати взаємостосунки між дітьми і </w:t>
      </w:r>
      <w:r w:rsidRPr="00071010">
        <w:rPr>
          <w:rFonts w:ascii="Verdana" w:eastAsia="Times New Roman" w:hAnsi="Verdana" w:cs="Times New Roman"/>
          <w:color w:val="333333"/>
          <w:sz w:val="20"/>
          <w:szCs w:val="20"/>
          <w:lang w:eastAsia="ru-RU"/>
        </w:rPr>
        <w:lastRenderedPageBreak/>
        <w:t>дорослим вчителем: вчителю бажано шукати можливість </w:t>
      </w:r>
      <w:r w:rsidRPr="00071010">
        <w:rPr>
          <w:rFonts w:ascii="Verdana" w:eastAsia="Times New Roman" w:hAnsi="Verdana" w:cs="Times New Roman"/>
          <w:i/>
          <w:iCs/>
          <w:color w:val="333333"/>
          <w:sz w:val="20"/>
          <w:szCs w:val="20"/>
          <w:bdr w:val="none" w:sz="0" w:space="0" w:color="auto" w:frame="1"/>
          <w:lang w:eastAsia="ru-RU"/>
        </w:rPr>
        <w:t>приймати участь і грати разом з дитиною </w:t>
      </w:r>
      <w:r w:rsidRPr="00071010">
        <w:rPr>
          <w:rFonts w:ascii="Verdana" w:eastAsia="Times New Roman" w:hAnsi="Verdana" w:cs="Times New Roman"/>
          <w:color w:val="333333"/>
          <w:sz w:val="20"/>
          <w:szCs w:val="20"/>
          <w:lang w:eastAsia="ru-RU"/>
        </w:rPr>
        <w:t>тому, що атмосфера гри руйнується під оком стороннього спостерігача.</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ефективного іншомовного навчання учнів і для розвитку різноманітних здібностей дитини засобами ІМ 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Навчання через </w:t>
      </w:r>
      <w:r w:rsidRPr="00071010">
        <w:rPr>
          <w:rFonts w:ascii="Verdana" w:eastAsia="Times New Roman" w:hAnsi="Verdana" w:cs="Times New Roman"/>
          <w:b/>
          <w:bCs/>
          <w:i/>
          <w:iCs/>
          <w:color w:val="333333"/>
          <w:sz w:val="20"/>
          <w:szCs w:val="20"/>
          <w:bdr w:val="none" w:sz="0" w:space="0" w:color="auto" w:frame="1"/>
          <w:lang w:eastAsia="ru-RU"/>
        </w:rPr>
        <w:t>прямий досвід</w:t>
      </w:r>
      <w:r w:rsidRPr="00071010">
        <w:rPr>
          <w:rFonts w:ascii="Verdana" w:eastAsia="Times New Roman" w:hAnsi="Verdana" w:cs="Times New Roman"/>
          <w:color w:val="333333"/>
          <w:sz w:val="20"/>
          <w:szCs w:val="20"/>
          <w:lang w:eastAsia="ru-RU"/>
        </w:rPr>
        <w:t>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071010">
        <w:rPr>
          <w:rFonts w:ascii="Verdana" w:eastAsia="Times New Roman" w:hAnsi="Verdana" w:cs="Times New Roman"/>
          <w:color w:val="333333"/>
          <w:sz w:val="20"/>
          <w:szCs w:val="20"/>
          <w:bdr w:val="none" w:sz="0" w:space="0" w:color="auto" w:frame="1"/>
          <w:vertAlign w:val="superscript"/>
          <w:lang w:eastAsia="ru-RU"/>
        </w:rPr>
        <w:t> </w:t>
      </w:r>
      <w:bookmarkStart w:id="0" w:name="_ftnref1"/>
      <w:r w:rsidRPr="00071010">
        <w:rPr>
          <w:rFonts w:ascii="Verdana" w:eastAsia="Times New Roman" w:hAnsi="Verdana" w:cs="Times New Roman"/>
          <w:color w:val="333333"/>
          <w:sz w:val="20"/>
          <w:szCs w:val="20"/>
          <w:bdr w:val="none" w:sz="0" w:space="0" w:color="auto" w:frame="1"/>
          <w:vertAlign w:val="superscript"/>
          <w:lang w:eastAsia="ru-RU"/>
        </w:rPr>
        <w:fldChar w:fldCharType="begin"/>
      </w:r>
      <w:r w:rsidRPr="00071010">
        <w:rPr>
          <w:rFonts w:ascii="Verdana" w:eastAsia="Times New Roman" w:hAnsi="Verdana" w:cs="Times New Roman"/>
          <w:color w:val="333333"/>
          <w:sz w:val="20"/>
          <w:szCs w:val="20"/>
          <w:bdr w:val="none" w:sz="0" w:space="0" w:color="auto" w:frame="1"/>
          <w:vertAlign w:val="superscript"/>
          <w:lang w:eastAsia="ru-RU"/>
        </w:rPr>
        <w:instrText xml:space="preserve"> HYPERLINK "https://www.schoollife.org.ua/metodychni-rekomendatsiyi-shhodo-vykladannya-inozemnyh-mov-u-2018-2019-navchalnomu-rotsi/" \l "_ftn1" </w:instrText>
      </w:r>
      <w:r w:rsidRPr="00071010">
        <w:rPr>
          <w:rFonts w:ascii="Verdana" w:eastAsia="Times New Roman" w:hAnsi="Verdana" w:cs="Times New Roman"/>
          <w:color w:val="333333"/>
          <w:sz w:val="20"/>
          <w:szCs w:val="20"/>
          <w:bdr w:val="none" w:sz="0" w:space="0" w:color="auto" w:frame="1"/>
          <w:vertAlign w:val="superscript"/>
          <w:lang w:eastAsia="ru-RU"/>
        </w:rPr>
        <w:fldChar w:fldCharType="separate"/>
      </w:r>
      <w:r w:rsidRPr="00071010">
        <w:rPr>
          <w:rFonts w:ascii="Verdana" w:eastAsia="Times New Roman" w:hAnsi="Verdana" w:cs="Times New Roman"/>
          <w:color w:val="9C0303"/>
          <w:sz w:val="20"/>
          <w:szCs w:val="20"/>
          <w:u w:val="single"/>
          <w:bdr w:val="none" w:sz="0" w:space="0" w:color="auto" w:frame="1"/>
          <w:vertAlign w:val="superscript"/>
          <w:lang w:eastAsia="ru-RU"/>
        </w:rPr>
        <w:t>[1]</w:t>
      </w:r>
      <w:r w:rsidRPr="00071010">
        <w:rPr>
          <w:rFonts w:ascii="Verdana" w:eastAsia="Times New Roman" w:hAnsi="Verdana" w:cs="Times New Roman"/>
          <w:color w:val="333333"/>
          <w:sz w:val="20"/>
          <w:szCs w:val="20"/>
          <w:bdr w:val="none" w:sz="0" w:space="0" w:color="auto" w:frame="1"/>
          <w:vertAlign w:val="superscript"/>
          <w:lang w:eastAsia="ru-RU"/>
        </w:rPr>
        <w:fldChar w:fldCharType="end"/>
      </w:r>
      <w:bookmarkEnd w:id="0"/>
      <w:r w:rsidRPr="00071010">
        <w:rPr>
          <w:rFonts w:ascii="Verdana" w:eastAsia="Times New Roman" w:hAnsi="Verdana" w:cs="Times New Roman"/>
          <w:color w:val="333333"/>
          <w:sz w:val="20"/>
          <w:szCs w:val="20"/>
          <w:lang w:eastAsia="ru-RU"/>
        </w:rPr>
        <w:t>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071010">
        <w:rPr>
          <w:rFonts w:ascii="Verdana" w:eastAsia="Times New Roman" w:hAnsi="Verdana" w:cs="Times New Roman"/>
          <w:i/>
          <w:iCs/>
          <w:color w:val="333333"/>
          <w:sz w:val="20"/>
          <w:szCs w:val="20"/>
          <w:bdr w:val="none" w:sz="0" w:space="0" w:color="auto" w:frame="1"/>
          <w:lang w:eastAsia="ru-RU"/>
        </w:rPr>
        <w:t>. </w:t>
      </w:r>
      <w:r w:rsidRPr="00071010">
        <w:rPr>
          <w:rFonts w:ascii="Verdana" w:eastAsia="Times New Roman" w:hAnsi="Verdana" w:cs="Times New Roman"/>
          <w:b/>
          <w:bCs/>
          <w:i/>
          <w:iCs/>
          <w:color w:val="333333"/>
          <w:sz w:val="20"/>
          <w:szCs w:val="20"/>
          <w:bdr w:val="none" w:sz="0" w:space="0" w:color="auto" w:frame="1"/>
          <w:lang w:eastAsia="ru-RU"/>
        </w:rPr>
        <w:t>Метод розповідання історій</w:t>
      </w:r>
      <w:r w:rsidRPr="00071010">
        <w:rPr>
          <w:rFonts w:ascii="Verdana" w:eastAsia="Times New Roman" w:hAnsi="Verdana" w:cs="Times New Roman"/>
          <w:color w:val="333333"/>
          <w:sz w:val="20"/>
          <w:szCs w:val="20"/>
          <w:lang w:eastAsia="ru-RU"/>
        </w:rPr>
        <w:t> (Storytelling) надає можливість для “занурення» дітей в іншомовну атмосферу, для ознайомлення зі світом. Робота над історіями в 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за допомогою дорослих, а потім самостійно. Є багато видів театру для дітей (тіньовий, настільний, пальчиковий, іграшковий і т.п.) і зазвичай </w:t>
      </w:r>
      <w:r w:rsidRPr="00071010">
        <w:rPr>
          <w:rFonts w:ascii="Verdana" w:eastAsia="Times New Roman" w:hAnsi="Verdana" w:cs="Times New Roman"/>
          <w:b/>
          <w:bCs/>
          <w:i/>
          <w:iCs/>
          <w:color w:val="333333"/>
          <w:sz w:val="20"/>
          <w:szCs w:val="20"/>
          <w:bdr w:val="none" w:sz="0" w:space="0" w:color="auto" w:frame="1"/>
          <w:lang w:eastAsia="ru-RU"/>
        </w:rPr>
        <w:t>прийоми</w:t>
      </w:r>
      <w:r w:rsidRPr="00071010">
        <w:rPr>
          <w:rFonts w:ascii="Verdana" w:eastAsia="Times New Roman" w:hAnsi="Verdana" w:cs="Times New Roman"/>
          <w:b/>
          <w:bCs/>
          <w:color w:val="333333"/>
          <w:sz w:val="20"/>
          <w:szCs w:val="20"/>
          <w:bdr w:val="none" w:sz="0" w:space="0" w:color="auto" w:frame="1"/>
          <w:lang w:eastAsia="ru-RU"/>
        </w:rPr>
        <w:t> театру</w:t>
      </w:r>
      <w:r w:rsidRPr="00071010">
        <w:rPr>
          <w:rFonts w:ascii="Verdana" w:eastAsia="Times New Roman" w:hAnsi="Verdana" w:cs="Times New Roman"/>
          <w:color w:val="333333"/>
          <w:sz w:val="20"/>
          <w:szCs w:val="20"/>
          <w:lang w:eastAsia="ru-RU"/>
        </w:rPr>
        <w:t> забезпечують можливістю розіграти найрізноманітніші елементарні комунікативні ситуації відповідно до віку дитини.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Перед тим, як розпочати </w:t>
      </w:r>
      <w:r w:rsidRPr="00071010">
        <w:rPr>
          <w:rFonts w:ascii="Verdana" w:eastAsia="Times New Roman" w:hAnsi="Verdana" w:cs="Times New Roman"/>
          <w:i/>
          <w:iCs/>
          <w:color w:val="333333"/>
          <w:sz w:val="20"/>
          <w:szCs w:val="20"/>
          <w:bdr w:val="none" w:sz="0" w:space="0" w:color="auto" w:frame="1"/>
          <w:lang w:eastAsia="ru-RU"/>
        </w:rPr>
        <w:t>читання</w:t>
      </w:r>
      <w:r w:rsidRPr="00071010">
        <w:rPr>
          <w:rFonts w:ascii="Verdana" w:eastAsia="Times New Roman" w:hAnsi="Verdana" w:cs="Times New Roman"/>
          <w:color w:val="333333"/>
          <w:sz w:val="20"/>
          <w:szCs w:val="20"/>
          <w:lang w:eastAsia="ru-RU"/>
        </w:rPr>
        <w:t> і </w:t>
      </w:r>
      <w:r w:rsidRPr="00071010">
        <w:rPr>
          <w:rFonts w:ascii="Verdana" w:eastAsia="Times New Roman" w:hAnsi="Verdana" w:cs="Times New Roman"/>
          <w:i/>
          <w:iCs/>
          <w:color w:val="333333"/>
          <w:sz w:val="20"/>
          <w:szCs w:val="20"/>
          <w:bdr w:val="none" w:sz="0" w:space="0" w:color="auto" w:frame="1"/>
          <w:lang w:eastAsia="ru-RU"/>
        </w:rPr>
        <w:t>письмо</w:t>
      </w:r>
      <w:r w:rsidRPr="00071010">
        <w:rPr>
          <w:rFonts w:ascii="Verdana" w:eastAsia="Times New Roman" w:hAnsi="Verdana" w:cs="Times New Roman"/>
          <w:color w:val="333333"/>
          <w:sz w:val="20"/>
          <w:szCs w:val="20"/>
          <w:lang w:eastAsia="ru-RU"/>
        </w:rPr>
        <w:t>, потрібно створити необ</w:t>
      </w:r>
      <w:r w:rsidRPr="00071010">
        <w:rPr>
          <w:rFonts w:ascii="Verdana" w:eastAsia="Times New Roman" w:hAnsi="Verdana" w:cs="Times New Roman"/>
          <w:color w:val="333333"/>
          <w:sz w:val="20"/>
          <w:szCs w:val="20"/>
          <w:lang w:eastAsia="ru-RU"/>
        </w:rPr>
        <w:softHyphen/>
        <w:t>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Варто згадати, як навчаються читати наші діти рідною мовою. Вони вимовляють букву за буквою, потім складають їх у слова. Такий спосіб на</w:t>
      </w:r>
      <w:r w:rsidRPr="00071010">
        <w:rPr>
          <w:rFonts w:ascii="Verdana" w:eastAsia="Times New Roman" w:hAnsi="Verdana" w:cs="Times New Roman"/>
          <w:color w:val="333333"/>
          <w:sz w:val="20"/>
          <w:szCs w:val="20"/>
          <w:lang w:eastAsia="ru-RU"/>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071010">
        <w:rPr>
          <w:rFonts w:ascii="Verdana" w:eastAsia="Times New Roman" w:hAnsi="Verdana" w:cs="Times New Roman"/>
          <w:color w:val="333333"/>
          <w:sz w:val="20"/>
          <w:szCs w:val="20"/>
          <w:lang w:eastAsia="ru-RU"/>
        </w:rPr>
        <w:softHyphen/>
        <w:t>ми – вимовляти найхарактерніший для тої чи іншої літери звук, який вона продукує. Потрібно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071010">
        <w:rPr>
          <w:rFonts w:ascii="Verdana" w:eastAsia="Times New Roman" w:hAnsi="Verdana" w:cs="Times New Roman"/>
          <w:color w:val="333333"/>
          <w:sz w:val="20"/>
          <w:szCs w:val="20"/>
          <w:lang w:eastAsia="ru-RU"/>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071010">
        <w:rPr>
          <w:rFonts w:ascii="Verdana" w:eastAsia="Times New Roman" w:hAnsi="Verdana" w:cs="Times New Roman"/>
          <w:color w:val="333333"/>
          <w:sz w:val="20"/>
          <w:szCs w:val="20"/>
          <w:lang w:eastAsia="ru-RU"/>
        </w:rPr>
        <w:softHyphen/>
        <w:t>ному написанню перших слів.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Зауважимо, що діти шестилітнього віку навчаються читати не за пра</w:t>
      </w:r>
      <w:r w:rsidRPr="00071010">
        <w:rPr>
          <w:rFonts w:ascii="Verdana" w:eastAsia="Times New Roman" w:hAnsi="Verdana" w:cs="Times New Roman"/>
          <w:color w:val="333333"/>
          <w:sz w:val="20"/>
          <w:szCs w:val="20"/>
          <w:lang w:eastAsia="ru-RU"/>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071010">
        <w:rPr>
          <w:rFonts w:ascii="Verdana" w:eastAsia="Times New Roman" w:hAnsi="Verdana" w:cs="Times New Roman"/>
          <w:color w:val="333333"/>
          <w:sz w:val="20"/>
          <w:szCs w:val="20"/>
          <w:lang w:eastAsia="ru-RU"/>
        </w:rPr>
        <w:softHyphen/>
        <w:t>ти елементарні речення, які можна укласти з ними та відтворюва</w:t>
      </w:r>
      <w:r w:rsidRPr="00071010">
        <w:rPr>
          <w:rFonts w:ascii="Verdana" w:eastAsia="Times New Roman" w:hAnsi="Verdana" w:cs="Times New Roman"/>
          <w:color w:val="333333"/>
          <w:sz w:val="20"/>
          <w:szCs w:val="20"/>
          <w:lang w:eastAsia="ru-RU"/>
        </w:rPr>
        <w:softHyphen/>
        <w:t>ти на письмі за зразком.</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Вивчення іноземних мов у 2018-2019 навчальному році буде здійснюватися за  декількома Державними стандартами та  Типовими освітніми програмами, а саме:</w:t>
      </w:r>
    </w:p>
    <w:p w:rsidR="00071010" w:rsidRPr="00071010" w:rsidRDefault="00071010" w:rsidP="00071010">
      <w:pPr>
        <w:numPr>
          <w:ilvl w:val="0"/>
          <w:numId w:val="5"/>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 xml:space="preserve">для учнів 1 перших класів за новим Державним стандартом початкової освіти, затвердженого постановою КМУ від 21 лютого 2018 року №87 та Типовою освітньою </w:t>
      </w:r>
      <w:r w:rsidRPr="00071010">
        <w:rPr>
          <w:rFonts w:ascii="Verdana" w:eastAsia="Times New Roman" w:hAnsi="Verdana" w:cs="Times New Roman"/>
          <w:color w:val="333333"/>
          <w:sz w:val="20"/>
          <w:szCs w:val="20"/>
          <w:lang w:eastAsia="ru-RU"/>
        </w:rPr>
        <w:lastRenderedPageBreak/>
        <w:t>програмою, розробленою під керівництвом О. Я. Савченко» і Типовою освітньою програмою, розробленою під керівництвом Р. Б. Шияна;</w:t>
      </w:r>
    </w:p>
    <w:p w:rsidR="00071010" w:rsidRPr="00071010" w:rsidRDefault="00071010" w:rsidP="00071010">
      <w:pPr>
        <w:numPr>
          <w:ilvl w:val="0"/>
          <w:numId w:val="5"/>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учнів 2-4 класів за Державним стандартом початкової загальної освіти, затвердженого постановою КМУ від 20 квітня 2011 року № 462 та Типовою освітньою програмою закладів загальної середньої освіти І ступеня (початкова освіта), затвердженою наказом МОН України від 20.04.2018 № 405;</w:t>
      </w:r>
    </w:p>
    <w:p w:rsidR="00071010" w:rsidRPr="00071010" w:rsidRDefault="00071010" w:rsidP="00071010">
      <w:pPr>
        <w:numPr>
          <w:ilvl w:val="0"/>
          <w:numId w:val="5"/>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учнів 5-9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та затверджена наказом МОН України від 20.04.2018 № 408;</w:t>
      </w:r>
    </w:p>
    <w:p w:rsidR="00071010" w:rsidRPr="00071010" w:rsidRDefault="00071010" w:rsidP="00071010">
      <w:pPr>
        <w:numPr>
          <w:ilvl w:val="0"/>
          <w:numId w:val="5"/>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Відповідно до Закону України «Про освіту»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w:t>
      </w:r>
      <w:r w:rsidRPr="00071010">
        <w:rPr>
          <w:rFonts w:ascii="Verdana" w:eastAsia="Times New Roman" w:hAnsi="Verdana" w:cs="Times New Roman"/>
          <w:b/>
          <w:bCs/>
          <w:i/>
          <w:iCs/>
          <w:color w:val="333333"/>
          <w:sz w:val="20"/>
          <w:szCs w:val="20"/>
          <w:bdr w:val="none" w:sz="0" w:space="0" w:color="auto" w:frame="1"/>
          <w:lang w:eastAsia="ru-RU"/>
        </w:rPr>
        <w:t>навчальних планів</w:t>
      </w:r>
      <w:r w:rsidRPr="00071010">
        <w:rPr>
          <w:rFonts w:ascii="Verdana" w:eastAsia="Times New Roman" w:hAnsi="Verdana" w:cs="Times New Roman"/>
          <w:b/>
          <w:bCs/>
          <w:color w:val="333333"/>
          <w:sz w:val="20"/>
          <w:szCs w:val="20"/>
          <w:bdr w:val="none" w:sz="0" w:space="0" w:color="auto" w:frame="1"/>
          <w:lang w:eastAsia="ru-RU"/>
        </w:rPr>
        <w:t>.</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Навчальний план для класів закладів середньої освіти розроблено відповідно до Державного стандарту, з метою його впровадження в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Як і в минулі роки, інваріанта складова  навчального плану основної школи (1-11 класи) забезпечує реалізацію змісту іншомовної освіти на рівні Державного стандарту.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Предмети та курси за вибором визначаються  закладами освіти в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Звертаємо увагу на те, що як і в попередні роки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071010">
        <w:rPr>
          <w:rFonts w:ascii="Verdana" w:eastAsia="Times New Roman" w:hAnsi="Verdana" w:cs="Times New Roman"/>
          <w:b/>
          <w:bCs/>
          <w:i/>
          <w:iCs/>
          <w:color w:val="333333"/>
          <w:sz w:val="20"/>
          <w:szCs w:val="20"/>
          <w:bdr w:val="none" w:sz="0" w:space="0" w:color="auto" w:frame="1"/>
          <w:lang w:eastAsia="ru-RU"/>
        </w:rPr>
        <w:t>самостійно.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i/>
          <w:iCs/>
          <w:color w:val="333333"/>
          <w:sz w:val="20"/>
          <w:szCs w:val="20"/>
          <w:bdr w:val="none" w:sz="0" w:space="0" w:color="auto" w:frame="1"/>
          <w:lang w:eastAsia="ru-RU"/>
        </w:rPr>
        <w:t>Залишається чинним </w:t>
      </w:r>
      <w:r w:rsidRPr="00071010">
        <w:rPr>
          <w:rFonts w:ascii="Verdana" w:eastAsia="Times New Roman" w:hAnsi="Verdana" w:cs="Times New Roman"/>
          <w:b/>
          <w:bCs/>
          <w:i/>
          <w:iCs/>
          <w:color w:val="333333"/>
          <w:sz w:val="20"/>
          <w:szCs w:val="20"/>
          <w:bdr w:val="none" w:sz="0" w:space="0" w:color="auto" w:frame="1"/>
          <w:lang w:eastAsia="ru-RU"/>
        </w:rPr>
        <w:t>наказ  Міністерства  від 07.08.15 № 855 «Про внесення змін до  навчальних планів загальноосвітніх навчальних закладів» згідно з яким збільшено години на вивчення іноземної мови за рахунок варіативної складової.</w:t>
      </w:r>
      <w:r w:rsidRPr="00071010">
        <w:rPr>
          <w:rFonts w:ascii="Verdana" w:eastAsia="Times New Roman" w:hAnsi="Verdana" w:cs="Times New Roman"/>
          <w:i/>
          <w:iCs/>
          <w:color w:val="333333"/>
          <w:sz w:val="20"/>
          <w:szCs w:val="20"/>
          <w:bdr w:val="none" w:sz="0" w:space="0" w:color="auto" w:frame="1"/>
          <w:lang w:eastAsia="ru-RU"/>
        </w:rPr>
        <w:t>  </w:t>
      </w:r>
      <w:r w:rsidRPr="00071010">
        <w:rPr>
          <w:rFonts w:ascii="Verdana" w:eastAsia="Times New Roman" w:hAnsi="Verdana" w:cs="Times New Roman"/>
          <w:color w:val="333333"/>
          <w:sz w:val="20"/>
          <w:szCs w:val="20"/>
          <w:lang w:eastAsia="ru-RU"/>
        </w:rPr>
        <w:t>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самостійно.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Дозволяється використовувати підручники, що видані в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lastRenderedPageBreak/>
        <w:t>У закладах загальної середньої освіти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www.mon.gov.ua та Інституту модернізації змісту освіти www.imzo.gov.ua .</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Конкурсне випробовування «Урок»</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Усі конкурсні випробування були по-своєму важливі і потрібні для об’єктивної оцінки професіоналізму та глибини особистості вчителя німецької мови, але урок без перебільшення можна назвати найважливішим і найвагомішим конкурсним випробуванням.</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Під час 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Оцінювання випробовування здійснювалася за 14 критеріями, які включали певний набір показників.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Конкурсанти мали змогу показати результативність навчання, тобто 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Потрібно відмітити методичну майстерність і творчість учасників,  різноманітність використовуваних ними методів і прийомів, новизну та оригінальність підходів, їхню нестандартність та індивідуальність.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Деякими конкурсантами не визначалися мета і завдання уроку, а отже, вони не націлювали учнів на кінцевий результат заняття.</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Часто поставлені учасниками завдання були не чіткими і незрозумілими для учнів.</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lastRenderedPageBreak/>
        <w:t>Не всі конкурсанти раціонально використовували освітній простір і засоби навчання (наприклад, роботу з підручником).</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w:t>
      </w:r>
    </w:p>
    <w:p w:rsidR="00071010" w:rsidRPr="00071010" w:rsidRDefault="00071010" w:rsidP="00071010">
      <w:pPr>
        <w:numPr>
          <w:ilvl w:val="0"/>
          <w:numId w:val="6"/>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Не завжди були дотримані раціональність та обсяг домашнього завдання, не здійснювалося його пояснення.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Організація проведення «Дискусійного клубу»</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Метою практичної роботи в рамках Всеукраїнського конкурсу «Учитель року» є організація вчителем навчальної дискусії відповідного до наданого типу: мозковий штурм (Brain storming),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 основному етапі проводилась робота відповідно до формату обговорення:</w:t>
      </w:r>
    </w:p>
    <w:p w:rsidR="00071010" w:rsidRPr="00071010" w:rsidRDefault="00071010" w:rsidP="00071010">
      <w:pPr>
        <w:numPr>
          <w:ilvl w:val="0"/>
          <w:numId w:val="7"/>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мозковий штурм – збір ідей та думок щодо проблеми та спроба їх аналізу та систематизації;</w:t>
      </w:r>
    </w:p>
    <w:p w:rsidR="00071010" w:rsidRPr="00071010" w:rsidRDefault="00071010" w:rsidP="00071010">
      <w:pPr>
        <w:numPr>
          <w:ilvl w:val="0"/>
          <w:numId w:val="7"/>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ток-шоу – висловлення думок, власних позицій відповідно до проблеми, формулювання запитань а також відповіді;</w:t>
      </w:r>
    </w:p>
    <w:p w:rsidR="00071010" w:rsidRPr="00071010" w:rsidRDefault="00071010" w:rsidP="00071010">
      <w:pPr>
        <w:numPr>
          <w:ilvl w:val="0"/>
          <w:numId w:val="7"/>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дерево рішень – виявлення причин виникнення проблеми та пошук рішень;</w:t>
      </w:r>
    </w:p>
    <w:p w:rsidR="00071010" w:rsidRPr="00071010" w:rsidRDefault="00071010" w:rsidP="00071010">
      <w:pPr>
        <w:numPr>
          <w:ilvl w:val="0"/>
          <w:numId w:val="7"/>
        </w:numPr>
        <w:shd w:val="clear" w:color="auto" w:fill="FFFFFF"/>
        <w:spacing w:after="75" w:line="240" w:lineRule="auto"/>
        <w:ind w:left="300"/>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дебати – пошук та формулювання аргументів на захист власної позиції, наведення переконливих контраргументів.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  а й підвищенню загального рівня культури ведення дискусій.</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Конкурсне випробування «Навчальний проект»</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Оцінювання навчальних досягнень учнів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Здійснення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Зміст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Мовленнєві уміння є основою для реалізації системи контролю над ходом і якістю засвоєння учнями змісту навчання іноземної мови.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Учні з початку навчання повинні знати, яких результатів від них очікують. У цьому полягає й певний стимул до підвищення якості своїх знань і умінь.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lastRenderedPageBreak/>
        <w:t>Основними видами оцінювання з іноземної мови є поточне (не поурочне), тематичне, семестрове, річне оцінювання та підсумкова державна атестація.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Основною ланкою в системі контролю в закладах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Семестровий контроль проводиться за чотирма уміннями (аудіювання, говоріння, читання, письмо). У журналі робиться, наприклад, такий запис:</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2333"/>
        <w:gridCol w:w="2308"/>
        <w:gridCol w:w="2307"/>
        <w:gridCol w:w="2322"/>
      </w:tblGrid>
      <w:tr w:rsidR="00071010" w:rsidRPr="00071010" w:rsidTr="00071010">
        <w:trPr>
          <w:tblCellSpacing w:w="15" w:type="dxa"/>
        </w:trPr>
        <w:tc>
          <w:tcPr>
            <w:tcW w:w="23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5.12.</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Контроль</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аудіювання</w:t>
            </w:r>
          </w:p>
        </w:tc>
        <w:tc>
          <w:tcPr>
            <w:tcW w:w="23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18.12.</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Контроль</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говоріння</w:t>
            </w:r>
          </w:p>
        </w:tc>
        <w:tc>
          <w:tcPr>
            <w:tcW w:w="23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22.12.</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Контроль</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читання</w:t>
            </w:r>
          </w:p>
        </w:tc>
        <w:tc>
          <w:tcPr>
            <w:tcW w:w="23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25.12.</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Контроль</w:t>
            </w:r>
          </w:p>
          <w:p w:rsidR="00071010" w:rsidRPr="00071010" w:rsidRDefault="00071010" w:rsidP="00071010">
            <w:pPr>
              <w:spacing w:after="0" w:line="240" w:lineRule="auto"/>
              <w:rPr>
                <w:rFonts w:ascii="Arial" w:eastAsia="Times New Roman" w:hAnsi="Arial" w:cs="Arial"/>
                <w:color w:val="555555"/>
                <w:sz w:val="18"/>
                <w:szCs w:val="18"/>
                <w:lang w:eastAsia="ru-RU"/>
              </w:rPr>
            </w:pPr>
            <w:r w:rsidRPr="00071010">
              <w:rPr>
                <w:rFonts w:ascii="Arial" w:eastAsia="Times New Roman" w:hAnsi="Arial" w:cs="Arial"/>
                <w:color w:val="555555"/>
                <w:sz w:val="18"/>
                <w:szCs w:val="18"/>
                <w:lang w:eastAsia="ru-RU"/>
              </w:rPr>
              <w:t>письма</w:t>
            </w:r>
          </w:p>
        </w:tc>
      </w:tr>
    </w:tbl>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Звертаємо увагу, що «Контроль» не є контрольною роботою і може бути комплексним та проводитись у формі тестування.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Оцінка за семестр ставиться на основі поточного оцінювання (тематичного) та оцінок контролю з чотирьох умінь.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Ведення шкільної документації</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 початковій школі (1-4 класи) зошити перевіряються після кожного уроку у всіх учнів.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У 5-9 класах зошити перевіряються один раз на тиждень.</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 10-11 класах у зошитах перевіряються найбільш значимі роботи,  але з таким розрахунком,  щоб один раз на місяць перевірялись роботи всіх учнів.</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у якому є помилка, на полях з метою самостійного пошуку та виправлення помилки учнями.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Відповідно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Зошити підписуються мовою, що вивчається..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b/>
          <w:bCs/>
          <w:i/>
          <w:iCs/>
          <w:color w:val="333333"/>
          <w:sz w:val="20"/>
          <w:szCs w:val="20"/>
          <w:bdr w:val="none" w:sz="0" w:space="0" w:color="auto" w:frame="1"/>
          <w:lang w:eastAsia="ru-RU"/>
        </w:rPr>
        <w:t>Організаційні питання</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w:t>
      </w:r>
    </w:p>
    <w:p w:rsidR="00071010" w:rsidRPr="00071010" w:rsidRDefault="00071010" w:rsidP="00071010">
      <w:pPr>
        <w:shd w:val="clear" w:color="auto" w:fill="FFFFFF"/>
        <w:spacing w:after="0" w:line="240" w:lineRule="auto"/>
        <w:rPr>
          <w:rFonts w:ascii="Verdana" w:eastAsia="Times New Roman" w:hAnsi="Verdana" w:cs="Times New Roman"/>
          <w:color w:val="333333"/>
          <w:sz w:val="20"/>
          <w:szCs w:val="20"/>
          <w:lang w:eastAsia="ru-RU"/>
        </w:rPr>
      </w:pPr>
      <w:r w:rsidRPr="00071010">
        <w:rPr>
          <w:rFonts w:ascii="Verdana" w:eastAsia="Times New Roman" w:hAnsi="Verdana" w:cs="Times New Roman"/>
          <w:color w:val="333333"/>
          <w:sz w:val="20"/>
          <w:szCs w:val="20"/>
          <w:lang w:eastAsia="ru-RU"/>
        </w:rPr>
        <w:t>З огляду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документа можна на сайті: http://www.coe.int</w:t>
      </w:r>
      <w:r w:rsidRPr="00071010">
        <w:rPr>
          <w:rFonts w:ascii="Verdana" w:eastAsia="Times New Roman" w:hAnsi="Verdana" w:cs="Times New Roman"/>
          <w:color w:val="333333"/>
          <w:sz w:val="20"/>
          <w:szCs w:val="20"/>
          <w:u w:val="single"/>
          <w:bdr w:val="none" w:sz="0" w:space="0" w:color="auto" w:frame="1"/>
          <w:lang w:eastAsia="ru-RU"/>
        </w:rPr>
        <w:t>.</w:t>
      </w:r>
    </w:p>
    <w:p w:rsidR="00574BA7" w:rsidRDefault="00574BA7">
      <w:bookmarkStart w:id="1" w:name="_GoBack"/>
      <w:bookmarkEnd w:id="1"/>
    </w:p>
    <w:sectPr w:rsidR="00574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11CD"/>
    <w:multiLevelType w:val="multilevel"/>
    <w:tmpl w:val="0F1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65262"/>
    <w:multiLevelType w:val="multilevel"/>
    <w:tmpl w:val="6712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EA0F9B"/>
    <w:multiLevelType w:val="multilevel"/>
    <w:tmpl w:val="BAB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04223"/>
    <w:multiLevelType w:val="multilevel"/>
    <w:tmpl w:val="D6C0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313C8"/>
    <w:multiLevelType w:val="multilevel"/>
    <w:tmpl w:val="0C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F1931"/>
    <w:multiLevelType w:val="multilevel"/>
    <w:tmpl w:val="540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4700D"/>
    <w:multiLevelType w:val="multilevel"/>
    <w:tmpl w:val="F156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10"/>
    <w:rsid w:val="00071010"/>
    <w:rsid w:val="0057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F9D72-089F-4B48-9499-A10CAAE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06059">
      <w:bodyDiv w:val="1"/>
      <w:marLeft w:val="0"/>
      <w:marRight w:val="0"/>
      <w:marTop w:val="0"/>
      <w:marBottom w:val="0"/>
      <w:divBdr>
        <w:top w:val="none" w:sz="0" w:space="0" w:color="auto"/>
        <w:left w:val="none" w:sz="0" w:space="0" w:color="auto"/>
        <w:bottom w:val="none" w:sz="0" w:space="0" w:color="auto"/>
        <w:right w:val="none" w:sz="0" w:space="0" w:color="auto"/>
      </w:divBdr>
      <w:divsChild>
        <w:div w:id="6214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category/fajly/usi-uroky-nimetskoji-movy/" TargetMode="External"/><Relationship Id="rId3" Type="http://schemas.openxmlformats.org/officeDocument/2006/relationships/settings" Target="settings.xml"/><Relationship Id="rId7" Type="http://schemas.openxmlformats.org/officeDocument/2006/relationships/hyperlink" Target="https://www.schoollife.org.ua/category/fajly/usi-uroky-anhlijskoji-mo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category/fajly/usi-uroky-nimetskoji-movy/normatyvno-pravove-zabezpechennya-nimetskoyi-movy/" TargetMode="External"/><Relationship Id="rId11" Type="http://schemas.openxmlformats.org/officeDocument/2006/relationships/fontTable" Target="fontTable.xml"/><Relationship Id="rId5" Type="http://schemas.openxmlformats.org/officeDocument/2006/relationships/hyperlink" Target="https://www.schoollife.org.ua/category/fajly/usi-uroky-anhlijskoji-movy/normatyvno-pravove-zabezpechennya-anhlijska-mova/" TargetMode="External"/><Relationship Id="rId10"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 Id="rId4" Type="http://schemas.openxmlformats.org/officeDocument/2006/relationships/webSettings" Target="webSettings.xml"/><Relationship Id="rId9" Type="http://schemas.openxmlformats.org/officeDocument/2006/relationships/hyperlink" Target="https://www.schoollife.org.ua/category/faj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5463</Words>
  <Characters>31142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1</cp:revision>
  <dcterms:created xsi:type="dcterms:W3CDTF">2018-08-08T18:15:00Z</dcterms:created>
  <dcterms:modified xsi:type="dcterms:W3CDTF">2018-08-08T18:15:00Z</dcterms:modified>
</cp:coreProperties>
</file>